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ПАМЯТКА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 подключению к государственной интегрированной системе управления общественными финансами «Электронный бюджет»</w:t>
      </w:r>
    </w:p>
    <w:p>
      <w:pPr>
        <w:pStyle w:val="Normal"/>
        <w:spacing w:lineRule="exact" w:line="340" w:before="0" w:after="0"/>
        <w:jc w:val="right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exact" w:line="3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Приказом Минфина России от 15 сентября 2017 года № 141н, вступившим в силу с 17 декабря 2017 года, в типовые формы соглашений о предоставлении субсидий юридическим лицам, индивидуальным предпринимателям, физическим лицам - производителям товаров, работ, услуг внесены изменения, предусматривающие заключение трехсторонних соглашений по «агентским субсидиям» в государственной интегрированной системе управления общественными финансами «Электронный бюджет» (далее – система «Электронный бюджет»). Трехсторонние соглашения по «агентским субсидиям» будут формироваться в форме электронного документа, а также подписываться усиленными квалифицированными электронными подписями лиц, имеющих право действовать от имени каждой из сторон соглашения, в системе «Электронный бюджет», что утверждено Приказом Минфина России от 31.10.2016 г. № 199н (ред. от 15.09.2017 г.).</w:t>
      </w:r>
    </w:p>
    <w:p>
      <w:pPr>
        <w:pStyle w:val="Normal"/>
        <w:spacing w:lineRule="exact" w:line="340" w:before="0" w:after="0"/>
        <w:ind w:firstLine="851"/>
        <w:jc w:val="both"/>
        <w:rPr>
          <w:rFonts w:ascii="Times New Roman" w:hAnsi="Times New Roman" w:cs="Times New Roman"/>
          <w:b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Таким образом, предусмотрены необходимые правовые основания, а также обеспечена техническая возможность заключения трёхсторонних соглашений по «агентским субсидиям» АО «РЭЦ» в форме электронного документа в системе «Электронный бюджет» с 1 января 2018 года.</w:t>
      </w:r>
    </w:p>
    <w:p>
      <w:pPr>
        <w:pStyle w:val="Normal"/>
        <w:tabs>
          <w:tab w:val="left" w:pos="851" w:leader="none"/>
        </w:tabs>
        <w:spacing w:lineRule="exact" w:line="3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целях заключения соглашений всем потенциальным получателям субсидий необходимо (1) обеспечить подключение к системе «Электронный бюджет» и (2) получить ЭЦП </w:t>
      </w:r>
      <w:r>
        <w:rPr>
          <w:rFonts w:cs="Times New Roman" w:ascii="Times New Roman" w:hAnsi="Times New Roman"/>
          <w:color w:val="FF0000"/>
          <w:sz w:val="28"/>
          <w:szCs w:val="28"/>
        </w:rPr>
        <w:t>(при необходимости – в случае если нет учетной записи в системе «Электронный Бюджет)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tabs>
          <w:tab w:val="left" w:pos="851" w:leader="none"/>
        </w:tabs>
        <w:spacing w:lineRule="exact" w:line="3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Подключение к системе «Электронный бюджет» осуществляется в следующем порядке:</w:t>
      </w:r>
    </w:p>
    <w:p>
      <w:pPr>
        <w:pStyle w:val="Normal"/>
        <w:tabs>
          <w:tab w:val="left" w:pos="851" w:leader="none"/>
        </w:tabs>
        <w:spacing w:lineRule="exact" w:line="3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</w:t>
        <w:tab/>
        <w:t xml:space="preserve">Для регистрации получателя субсидии в системе организация </w:t>
        <w:br/>
        <w:t xml:space="preserve">в обязательном порядке направляет в АО «Российский экспортный центр» </w:t>
        <w:br/>
        <w:t>и Минпромторг России заявку, по установленному шаблону:</w:t>
      </w:r>
    </w:p>
    <w:p>
      <w:pPr>
        <w:pStyle w:val="Normal"/>
        <w:tabs>
          <w:tab w:val="left" w:pos="851" w:leader="none"/>
        </w:tabs>
        <w:spacing w:lineRule="exact" w:line="3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- в АО «Российский экспортный центр» по электронной почте: </w:t>
      </w:r>
      <w:hyperlink r:id="rId2">
        <w:r>
          <w:rPr>
            <w:rStyle w:val="Style14"/>
            <w:rFonts w:cs="Times New Roman" w:ascii="Times New Roman" w:hAnsi="Times New Roman"/>
            <w:sz w:val="28"/>
            <w:szCs w:val="28"/>
            <w:lang w:val="en-US"/>
          </w:rPr>
          <w:t>transport</w:t>
        </w:r>
        <w:r>
          <w:rPr>
            <w:rStyle w:val="Style14"/>
            <w:rFonts w:cs="Times New Roman" w:ascii="Times New Roman" w:hAnsi="Times New Roman"/>
            <w:sz w:val="28"/>
            <w:szCs w:val="28"/>
          </w:rPr>
          <w:t>@exportcenter.ru</w:t>
        </w:r>
      </w:hyperlink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tabs>
          <w:tab w:val="left" w:pos="851" w:leader="none"/>
        </w:tabs>
        <w:spacing w:lineRule="exact" w:line="3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Минпромторг России на бумажном носителе по почте: 125039, г. Москва, Пресненская наб., д. 10, стр. 2 (Башня 2);</w:t>
      </w:r>
    </w:p>
    <w:p>
      <w:pPr>
        <w:pStyle w:val="Normal"/>
        <w:tabs>
          <w:tab w:val="left" w:pos="851" w:leader="none"/>
        </w:tabs>
        <w:spacing w:lineRule="exact" w:line="3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</w:t>
        <w:tab/>
        <w:t xml:space="preserve">Одновременно получателям субсидий необходимо провести процедуру получения квалифицированного сертификата ключа проверки электронной подписи в любом аккредитованном удостоверяющем центре, с перечнем которых можно ознакомиться на сайте Минкомсвязи России: </w:t>
      </w:r>
      <w:hyperlink r:id="rId3">
        <w:r>
          <w:rPr>
            <w:rStyle w:val="Style14"/>
            <w:rFonts w:cs="Times New Roman" w:ascii="Times New Roman" w:hAnsi="Times New Roman"/>
            <w:sz w:val="28"/>
            <w:szCs w:val="28"/>
          </w:rPr>
          <w:t>http://minsvyaz.ru/ru/activity/govservices/2</w:t>
        </w:r>
      </w:hyperlink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tabs>
          <w:tab w:val="left" w:pos="851" w:leader="none"/>
        </w:tabs>
        <w:spacing w:lineRule="exact" w:line="3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4. Работа в системе «Электронный бюджет» проводится в веб интерфейсе на сайте Минфина России: </w:t>
      </w:r>
      <w:hyperlink r:id="rId4">
        <w:r>
          <w:rPr>
            <w:rStyle w:val="Style14"/>
            <w:rFonts w:cs="Times New Roman" w:ascii="Times New Roman" w:hAnsi="Times New Roman"/>
            <w:sz w:val="28"/>
            <w:szCs w:val="28"/>
          </w:rPr>
          <w:t>http://ssl.budgetplan.minfin.ru</w:t>
        </w:r>
      </w:hyperlink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tabs>
          <w:tab w:val="left" w:pos="851" w:leader="none"/>
        </w:tabs>
        <w:spacing w:lineRule="exact" w:line="3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Там же размещена подробная инструкция по работе с программой, а также по установке средства криптографической защиты – программы «КриптоПро CSP» и ряда необходимых драйверов.</w:t>
      </w:r>
    </w:p>
    <w:p>
      <w:pPr>
        <w:pStyle w:val="Normal"/>
        <w:tabs>
          <w:tab w:val="left" w:pos="851" w:leader="none"/>
        </w:tabs>
        <w:spacing w:lineRule="exact" w:line="3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</w:t>
        <w:tab/>
        <w:t xml:space="preserve">Для входа в информационную систему «Электронный бюджет» потребуется логин и пароль, которые будут присвоены каждой организации после прохождения процедуры проверки заявок на регистрацию в Минфине России, о чем получатели субсидий будут проинформированы </w:t>
        <w:br/>
        <w:t>по электронной почте, указанной в заявке.</w:t>
      </w:r>
    </w:p>
    <w:p>
      <w:pPr>
        <w:pStyle w:val="Normal"/>
        <w:tabs>
          <w:tab w:val="left" w:pos="851" w:leader="none"/>
        </w:tabs>
        <w:spacing w:lineRule="exact" w:line="3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</w:t>
        <w:tab/>
        <w:t>После получения квалифицированного сертификата ключа проверки электронной подписи и уведомления по электронной почте</w:t>
        <w:br/>
        <w:t xml:space="preserve"> о факте регистрации в системе, получателю субсидии необходимо зайти </w:t>
        <w:br/>
        <w:t>в систему и проверить корректность данных организации (наименование, банковские реквизиты и др.).</w:t>
      </w:r>
    </w:p>
    <w:p>
      <w:pPr>
        <w:pStyle w:val="Normal"/>
        <w:tabs>
          <w:tab w:val="left" w:pos="851" w:leader="none"/>
        </w:tabs>
        <w:spacing w:lineRule="exact" w:line="3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возникновении вопросов, связанных с работой системы «Электронный бюджет», необходимо обращаться в службу поддержки Минфина России по телефону 8 800 333 6226.</w:t>
      </w:r>
    </w:p>
    <w:p>
      <w:pPr>
        <w:pStyle w:val="Normal"/>
        <w:spacing w:lineRule="exact" w:line="3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3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Справочно: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С технологической инструкцией по работе с </w:t>
      </w:r>
      <w:r>
        <w:rPr>
          <w:rFonts w:cs="Times New Roman" w:ascii="Times New Roman" w:hAnsi="Times New Roman"/>
          <w:sz w:val="28"/>
          <w:szCs w:val="28"/>
        </w:rPr>
        <w:t>системой «Электронный бюджет»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в том числе о настройке рабочих мест </w:t>
      </w:r>
      <w:r>
        <w:rPr>
          <w:rFonts w:cs="Times New Roman" w:ascii="Times New Roman" w:hAnsi="Times New Roman"/>
          <w:sz w:val="28"/>
          <w:szCs w:val="28"/>
        </w:rPr>
        <w:t>пользователей организации могут ознакомиться на официальном сайте Минфина России в разделе «Деятельность/Электронный бюджет/Подключение к системе «Электронный бюджет»/Федеральный уровень /Порядок подключения»:</w:t>
      </w:r>
    </w:p>
    <w:p>
      <w:pPr>
        <w:pStyle w:val="Normal"/>
        <w:spacing w:before="0" w:after="0"/>
        <w:ind w:firstLine="709"/>
        <w:jc w:val="both"/>
        <w:rPr/>
      </w:pPr>
      <w:hyperlink r:id="rId5">
        <w:r>
          <w:rPr>
            <w:rStyle w:val="Style14"/>
            <w:rFonts w:cs="Times New Roman" w:ascii="Times New Roman" w:hAnsi="Times New Roman"/>
            <w:sz w:val="28"/>
            <w:szCs w:val="28"/>
          </w:rPr>
          <w:t>http://www.minfin.ru/ru/perfomance/ebudget/connect/federal/order/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Информация о работе с подсистемой размещена на официальном сайте Минфина России в разделе «Деятельность/Электронный бюджет/Подсистема бюджетного планирования ГИИС «Электронный бюджет»: </w:t>
      </w:r>
      <w:hyperlink r:id="rId6">
        <w:r>
          <w:rPr>
            <w:rStyle w:val="Style14"/>
            <w:rFonts w:cs="Times New Roman" w:ascii="Times New Roman" w:hAnsi="Times New Roman"/>
            <w:sz w:val="28"/>
            <w:szCs w:val="28"/>
          </w:rPr>
          <w:t>http://minfin.ru/ru/ismf/pk-bp/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Ознакомиться с вебинаром по обучению технической организации подключения и особенностям формирования заявок в подсистеме «Бюджетное планирование» ГИИС «ЭБ» можно по ссылке:</w:t>
      </w:r>
    </w:p>
    <w:p>
      <w:pPr>
        <w:pStyle w:val="Normal"/>
        <w:spacing w:before="0" w:after="0"/>
        <w:ind w:firstLine="709"/>
        <w:jc w:val="both"/>
        <w:rPr/>
      </w:pPr>
      <w:r>
        <w:fldChar w:fldCharType="begin"/>
      </w:r>
      <w:r>
        <w:rPr>
          <w:rStyle w:val="Style14"/>
          <w:sz w:val="28"/>
          <w:szCs w:val="28"/>
          <w:rFonts w:cs="Times New Roman" w:ascii="Times New Roman" w:hAnsi="Times New Roman"/>
        </w:rPr>
        <w:instrText> HYPERLINK "https://www.minfin.ru/ru/perfomance/ebudget/connect/federal/video_f/" \l "ixzz51niDzoIb"</w:instrText>
      </w:r>
      <w:r>
        <w:rPr>
          <w:rStyle w:val="Style14"/>
          <w:sz w:val="28"/>
          <w:szCs w:val="28"/>
          <w:rFonts w:cs="Times New Roman" w:ascii="Times New Roman" w:hAnsi="Times New Roman"/>
        </w:rPr>
        <w:fldChar w:fldCharType="separate"/>
      </w:r>
      <w:r>
        <w:rPr>
          <w:rStyle w:val="Style14"/>
          <w:rFonts w:cs="Times New Roman" w:ascii="Times New Roman" w:hAnsi="Times New Roman"/>
          <w:sz w:val="28"/>
          <w:szCs w:val="28"/>
        </w:rPr>
        <w:t>https://www.minfin.ru/ru/perfomance/ebudget/connect/federal/video_f/#ixzz51niDzoIb</w:t>
      </w:r>
      <w:r>
        <w:rPr>
          <w:rStyle w:val="Style14"/>
          <w:sz w:val="28"/>
          <w:szCs w:val="28"/>
          <w:rFonts w:cs="Times New Roman" w:ascii="Times New Roman" w:hAnsi="Times New Roman"/>
        </w:rPr>
        <w:fldChar w:fldCharType="end"/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Нормативные правовые основы подключения пользователей к подсистеме учета и отчетности ГИИС «Электронный бюджет»: 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Концепция создания и развития государственной интегрированной информационной системы управления общественными финансами «Электронный бюджет», одобрена распоряжением Правительства Российской Федерации от 20.07.2011 № 1275-р;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Постановление Правительства Российской Федерации от 30.06.2015 </w:t>
        <w:br/>
        <w:t>№ 658 «О государственной интегрированной информационной системе управления общественными финансами «Электронный бюджет»;</w:t>
      </w:r>
    </w:p>
    <w:p>
      <w:pPr>
        <w:pStyle w:val="Normal"/>
        <w:spacing w:lineRule="exact" w:line="3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</w:p>
    <w:sectPr>
      <w:type w:val="nextPage"/>
      <w:pgSz w:w="11906" w:h="16838"/>
      <w:pgMar w:left="1701" w:right="850" w:header="0" w:top="1134" w:footer="0" w:bottom="70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01221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50122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d639c"/>
    <w:rPr>
      <w:color w:val="954F72" w:themeColor="followedHyperlink"/>
      <w:u w:val="single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  <w:lang w:val="en-US"/>
    </w:rPr>
  </w:style>
  <w:style w:type="character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ohit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ransport@exportcenter.ru" TargetMode="External"/><Relationship Id="rId3" Type="http://schemas.openxmlformats.org/officeDocument/2006/relationships/hyperlink" Target="http://minsvyaz.ru/ru/activity/govservices/2" TargetMode="External"/><Relationship Id="rId4" Type="http://schemas.openxmlformats.org/officeDocument/2006/relationships/hyperlink" Target="http://ssl.budgetplan.minfin.ru/" TargetMode="External"/><Relationship Id="rId5" Type="http://schemas.openxmlformats.org/officeDocument/2006/relationships/hyperlink" Target="http://www.minfin.ru/ru/perfomance/ebudget/connect/federal/order/" TargetMode="External"/><Relationship Id="rId6" Type="http://schemas.openxmlformats.org/officeDocument/2006/relationships/hyperlink" Target="http://minfin.ru/ru/ismf/pk-bp/" TargetMode="Externa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LibreOffice/6.0.7.3$Linux_X86_64 LibreOffice_project/00m0$Build-3</Application>
  <Pages>3</Pages>
  <Words>567</Words>
  <Characters>4339</Characters>
  <CharactersWithSpaces>4893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2021-01-29T16:36:49Z</dcterms:created>
  <dc:creator/>
  <dc:description/>
  <dc:language>ru-RU</dc:language>
  <cp:lastModifiedBy/>
  <dcterms:modified xsi:type="dcterms:W3CDTF">2021-01-29T16:48:23Z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