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contextualSpacing/>
        <w:ind w:right="-1"/>
        <w:jc w:val="both"/>
        <w:spacing w:after="0" w:afterAutospacing="0"/>
        <w:tabs>
          <w:tab w:val="left" w:pos="9355" w:leader="none"/>
        </w:tabs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На бланке организации</w:t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  <w:p>
      <w:pPr>
        <w:pStyle w:val="858"/>
        <w:contextualSpacing/>
        <w:ind w:right="-1"/>
        <w:jc w:val="both"/>
        <w:spacing w:after="0" w:afterAutospacing="0"/>
        <w:tabs>
          <w:tab w:val="left" w:pos="935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contextualSpacing/>
        <w:ind w:right="-1"/>
        <w:jc w:val="both"/>
        <w:spacing w:after="0" w:afterAutospacing="0"/>
        <w:tabs>
          <w:tab w:val="left" w:pos="935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«_____» ___________ 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contextualSpacing/>
        <w:ind w:right="-1"/>
        <w:jc w:val="both"/>
        <w:spacing w:after="0" w:afterAutospacing="0"/>
        <w:tabs>
          <w:tab w:val="left" w:pos="935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№__________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jc w:val="center"/>
        <w:spacing w:before="240" w:after="240" w:line="240" w:lineRule="auto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</w:rPr>
        <w:t xml:space="preserve">ЗАЯВКА </w:t>
        <w:br/>
        <w:t xml:space="preserve">на участие в отборе операторов российских национальных павильонов </w:t>
        <w:br/>
        <w:t xml:space="preserve">в иностранных государствах</w:t>
      </w:r>
      <w:r>
        <w:rPr>
          <w:rFonts w:ascii="Times New Roman" w:hAnsi="Times New Roman" w:cs="Times New Roman"/>
          <w:b/>
          <w:iCs/>
        </w:rPr>
      </w:r>
      <w:r>
        <w:rPr>
          <w:rFonts w:ascii="Times New Roman" w:hAnsi="Times New Roman" w:cs="Times New Roman"/>
          <w:b/>
          <w:iCs/>
        </w:rPr>
      </w:r>
    </w:p>
    <w:p>
      <w:pPr>
        <w:pStyle w:val="858"/>
        <w:ind w:firstLine="567"/>
        <w:jc w:val="both"/>
        <w:spacing w:before="120" w:line="240" w:lineRule="auto"/>
        <w:rPr>
          <w:rFonts w:ascii="Times New Roman" w:hAnsi="Times New Roman" w:eastAsia="Times New Roman" w:cs="Times New Roman"/>
          <w:i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Изу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none"/>
        </w:rPr>
        <w:t xml:space="preserve">чив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объявление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none"/>
        </w:rPr>
        <w:t xml:space="preserve"> о проведении отбора оператора российского национального пав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none"/>
        </w:rPr>
        <w:t xml:space="preserve">ильона в 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none"/>
        </w:rPr>
        <w:t xml:space="preserve">Иорданском Хашимитском Королевстве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none"/>
        </w:rPr>
        <w:t xml:space="preserve"> (далее –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none"/>
        </w:rPr>
        <w:t xml:space="preserve"> отбор), размещенное на официальном сайте АО «Российский экспортный центр», и приложенную к нему документацию, и 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"/>
        </w:rPr>
        <w:t xml:space="preserve">безоговорочно 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none"/>
        </w:rPr>
        <w:t xml:space="preserve">принимая установленные в них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требования и условия участия в отборе,</w:t>
      </w: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участник отбора –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[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указать наименование организации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]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(далее – Компания)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в лице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[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указать должность и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Ф.И.О.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]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подтверждает свое согласие участвовать в вышеуказанном отборе и дополнительно сообщает: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highlight w:val="none"/>
        </w:rPr>
      </w:r>
    </w:p>
    <w:tbl>
      <w:tblPr>
        <w:tblW w:w="935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2"/>
        <w:gridCol w:w="3982"/>
        <w:gridCol w:w="4535"/>
      </w:tblGrid>
      <w:tr>
        <w:tblPrEx/>
        <w:trPr>
          <w:trHeight w:val="240"/>
          <w:tblHeader/>
        </w:trPr>
        <w:tc>
          <w:tcPr>
            <w:tcW w:w="842" w:type="dxa"/>
            <w:vAlign w:val="top"/>
            <w:textDirection w:val="lrTb"/>
            <w:noWrap w:val="false"/>
          </w:tcPr>
          <w:p>
            <w:pPr>
              <w:pStyle w:val="858"/>
              <w:ind w:left="0" w:right="0" w:firstLine="0"/>
              <w:jc w:val="center"/>
              <w:spacing w:before="40" w:after="4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3982" w:type="dxa"/>
            <w:vAlign w:val="center"/>
            <w:textDirection w:val="lrTb"/>
            <w:noWrap w:val="false"/>
          </w:tcPr>
          <w:p>
            <w:pPr>
              <w:pStyle w:val="858"/>
              <w:ind w:left="57" w:right="57"/>
              <w:spacing w:before="40" w:after="40"/>
              <w:tabs>
                <w:tab w:val="left" w:pos="1122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критерия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535" w:type="dxa"/>
            <w:vAlign w:val="center"/>
            <w:textDirection w:val="lrTb"/>
            <w:noWrap w:val="false"/>
          </w:tcPr>
          <w:p>
            <w:pPr>
              <w:pStyle w:val="858"/>
              <w:ind w:left="57" w:right="57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об участнике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240"/>
        </w:trPr>
        <w:tc>
          <w:tcPr>
            <w:tcW w:w="842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contextualSpacing w:val="0"/>
              <w:ind w:left="530"/>
              <w:jc w:val="left"/>
              <w:spacing w:before="0" w:beforeAutospacing="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982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tabs>
                <w:tab w:val="left" w:pos="1122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Опыт работы в установленной сфере деятельности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-2 года</w:t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</w:p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2-5 лет</w:t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</w:p>
          <w:p>
            <w:pPr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Более 5 лет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</w:r>
          </w:p>
        </w:tc>
      </w:tr>
      <w:tr>
        <w:tblPrEx/>
        <w:trPr>
          <w:cantSplit/>
        </w:trPr>
        <w:tc>
          <w:tcPr>
            <w:tcW w:w="842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contextualSpacing w:val="0"/>
              <w:ind w:left="530"/>
              <w:jc w:val="left"/>
              <w:spacing w:before="0" w:beforeAutospacing="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982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tabs>
                <w:tab w:val="left" w:pos="1122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Опыт продвижения продукции на рынок страны месторасположения павильона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Нет</w:t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</w:p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Есть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42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contextualSpacing w:val="0"/>
              <w:ind w:left="530"/>
              <w:jc w:val="left"/>
              <w:spacing w:before="0" w:beforeAutospacing="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982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tabs>
                <w:tab w:val="left" w:pos="1122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положительного опыта осуществления продаж российской продовольственной, промышленной продукции и (или) услуг на территории страны месторасположения павильона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Есть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cantSplit/>
        </w:trPr>
        <w:tc>
          <w:tcPr>
            <w:tcW w:w="842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contextualSpacing w:val="0"/>
              <w:ind w:left="530"/>
              <w:jc w:val="left"/>
              <w:spacing w:before="0" w:beforeAutospacing="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982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tabs>
                <w:tab w:val="left" w:pos="1122" w:leader="none"/>
              </w:tabs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Объем заключенных экспортных контрактов или подтвержденное оказанное содействие в их заключении за последние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года, предшествующих дате подаче заявки на участие в отборе</w:t>
            </w:r>
            <w:r>
              <w:rPr>
                <w:rFonts w:ascii="Times New Roman" w:hAnsi="Times New Roman" w:cs="Times New Roman"/>
                <w:color w:val="000000"/>
                <w:highlight w:val="yellow"/>
              </w:rPr>
            </w:r>
            <w:r>
              <w:rPr>
                <w:rFonts w:ascii="Times New Roman" w:hAnsi="Times New Roman" w:cs="Times New Roman"/>
                <w:color w:val="000000"/>
                <w:highlight w:val="yellow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0-20 млн долл. США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20-100 млн долл. США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Более 100 млн долл. США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73"/>
        </w:trPr>
        <w:tc>
          <w:tcPr>
            <w:tcW w:w="842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contextualSpacing w:val="0"/>
              <w:ind w:left="530"/>
              <w:jc w:val="left"/>
              <w:spacing w:before="0" w:beforeAutospacing="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982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tabs>
                <w:tab w:val="left" w:pos="1122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Опыт оказания содействия в продвижении продукции через российский национальный павильон в роли оператора или регионального партнера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отсутствие опыта</w:t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</w:p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аличие отрицательного опыта (неисполнение ключевых показателей эффективности по объему заключенных контрактов и обеспечению поставок продукции, предусмотренных Договорами с Центром, дополнительных соглашений к ним и (или) Соглашений об оказании содействия)</w:t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</w:p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наличие положительного опыта (исполнение ключевых показателей эффективности по объему заключенных контрактов и обеспечению поставок продукции, предусмотренных Договорами с Центром, дополнительных соглашений к ним и (или) Соглашений об оказании содействия)</w:t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</w:p>
        </w:tc>
      </w:tr>
      <w:tr>
        <w:tblPrEx/>
        <w:trPr>
          <w:trHeight w:val="373"/>
        </w:trPr>
        <w:tc>
          <w:tcPr>
            <w:tcW w:w="842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contextualSpacing w:val="0"/>
              <w:ind w:left="530"/>
              <w:jc w:val="left"/>
              <w:spacing w:before="0" w:beforeAutospacing="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982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tabs>
                <w:tab w:val="left" w:pos="1122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склада и (или) складского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распределительного центра для хранения коммерческий партий продукции компаний-резидентов павильона в целевой стране общей площадь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от 200 кв.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Нет</w:t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</w:p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Есть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blPrEx/>
        <w:trPr>
          <w:trHeight w:val="373"/>
        </w:trPr>
        <w:tc>
          <w:tcPr>
            <w:tcW w:w="842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contextualSpacing w:val="0"/>
              <w:ind w:left="530"/>
              <w:jc w:val="center"/>
              <w:spacing w:before="0" w:beforeAutospacing="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982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tabs>
                <w:tab w:val="left" w:pos="1122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действующей информационной системы мониторинга розничных продаж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Нет</w:t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</w:p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Есть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blPrEx/>
        <w:trPr>
          <w:trHeight w:val="373"/>
        </w:trPr>
        <w:tc>
          <w:tcPr>
            <w:tcW w:w="842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contextualSpacing w:val="0"/>
              <w:ind w:left="530"/>
              <w:jc w:val="left"/>
              <w:spacing w:before="0" w:beforeAutospacing="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982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tabs>
                <w:tab w:val="left" w:pos="1122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Опыт проведения BTL-акций по продвижению российской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Нет</w:t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</w:p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Есть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</w:tbl>
    <w:p>
      <w:pPr>
        <w:pStyle w:val="858"/>
        <w:ind w:firstLine="567"/>
        <w:jc w:val="both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В случае признания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Компании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победителем отбора, а также в случае принятия </w:t>
        <w:br/>
        <w:t xml:space="preserve">АО «Российский экспортный центр» решения о заключении с нами соглашения об оказании содействия в реализации мероприятий по продвижению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продовольственной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, промышленной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продукции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и (или) услуг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российского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национального павильона в иностранном государстве (далее – соглашение), берет на себя обязательства подписать со своей стороны соглашение в соответствии с требованиями порядка отбора операторов российских национальных павильонов в иностранных государствах.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ind w:firstLine="567"/>
        <w:jc w:val="both"/>
        <w:spacing w:before="120" w:line="240" w:lineRule="auto"/>
        <w:rPr>
          <w:rFonts w:ascii="Times New Roman" w:hAnsi="Times New Roman" w:cs="Times New Roman"/>
          <w:iCs/>
          <w:highlight w:val="yellow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В случае если заявке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Компании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будет присвоен второй номер, а победитель отбора будет отстранен либо признан уклонившимся от заключения соглашения с АО «Российский экспортный центр»,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Компания обязуется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подписать данное соглашение в соответствии с требованиями порядка отбора операторов российских национальных павильонов в иностранных государствах.</w:t>
      </w:r>
      <w:r>
        <w:rPr>
          <w:rFonts w:ascii="Times New Roman" w:hAnsi="Times New Roman" w:cs="Times New Roman"/>
          <w:iCs/>
          <w:highlight w:val="yellow"/>
        </w:rPr>
      </w:r>
      <w:r>
        <w:rPr>
          <w:rFonts w:ascii="Times New Roman" w:hAnsi="Times New Roman" w:cs="Times New Roman"/>
          <w:iCs/>
          <w:highlight w:val="yellow"/>
        </w:rPr>
      </w:r>
    </w:p>
    <w:p>
      <w:pPr>
        <w:pStyle w:val="858"/>
        <w:ind w:firstLine="567"/>
        <w:jc w:val="both"/>
        <w:spacing w:before="120" w:line="240" w:lineRule="auto"/>
        <w:rPr>
          <w:rFonts w:ascii="Times New Roman" w:hAnsi="Times New Roman" w:eastAsia="Times New Roman" w:cs="Times New Roman"/>
          <w:i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Сведения об участнике процедуры отбора: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highlight w:val="none"/>
        </w:rPr>
      </w:r>
    </w:p>
    <w:tbl>
      <w:tblPr>
        <w:tblW w:w="935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4115"/>
        <w:gridCol w:w="4535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jc w:val="center"/>
              <w:spacing w:before="40" w:after="4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5" w:type="dxa"/>
            <w:vAlign w:val="center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jc w:val="center"/>
              <w:spacing w:before="40" w:after="4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параметра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jc w:val="center"/>
              <w:spacing w:before="40" w:after="4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об участнике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20" w:after="2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5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spacing w:before="40" w:after="4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Юридический адрес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jc w:val="both"/>
              <w:spacing w:before="40" w:after="4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20" w:after="2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5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spacing w:before="40" w:after="4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Реквизиты участника отбора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jc w:val="both"/>
              <w:spacing w:before="40" w:after="4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cantSplit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20" w:after="2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115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spacing w:before="40" w:after="4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Контактные телефоны участника отбора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jc w:val="both"/>
              <w:spacing w:before="40" w:after="4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cantSplit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20" w:after="2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115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spacing w:before="40" w:after="4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электронной почты участника отбора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jc w:val="both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r>
          </w:p>
        </w:tc>
      </w:tr>
      <w:tr>
        <w:tblPrEx/>
        <w:trPr>
          <w:cantSplit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20" w:after="2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115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spacing w:before="40" w:after="4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Ф.И.О. контактного лица участника отбора с указанием должности, контактного телефона и адреса электронной почты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jc w:val="both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r>
          </w:p>
        </w:tc>
      </w:tr>
    </w:tbl>
    <w:p>
      <w:pPr>
        <w:pStyle w:val="858"/>
        <w:ind w:firstLine="567"/>
        <w:jc w:val="both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Подписывая настоящую заявку,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Компания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принимае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себя обязательство незамедлительно извещать АО «Российский экспортный центр» о любом изменении положений, содержащихся в настоящей заявке.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ind w:firstLine="567"/>
        <w:jc w:val="both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Компания подтверждает достоверность информации, приведенной в настоящей заявке.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ind w:firstLine="567"/>
        <w:jc w:val="both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Подписывая настоящую заявку,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Компания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предоставляет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право АО «Российский экспортный центр» раскрывать третьим лицам конфиденциальность всей информации, данных или интеллектуальной собственности, которая относится к настоящей заявк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целью оказания соответствующей услуги.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ind w:firstLine="567"/>
        <w:jc w:val="both"/>
        <w:spacing w:before="12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Опись документов, которые являются неотъемлемой частью заявки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Компании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в соответствии с приложением №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2 порядка отбора операторов российских национальных павильонов в иностранных государствах</w:t>
      </w:r>
      <w:r>
        <w:rPr>
          <w:rStyle w:val="865"/>
          <w:rFonts w:ascii="Times New Roman" w:hAnsi="Times New Roman" w:eastAsia="Times New Roman" w:cs="Times New Roman"/>
          <w:iCs/>
          <w:sz w:val="24"/>
          <w:szCs w:val="24"/>
        </w:rPr>
        <w:footnoteReference w:id="2"/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iCs/>
        </w:rPr>
      </w:r>
      <w:r>
        <w:rPr>
          <w:rFonts w:ascii="Times New Roman" w:hAnsi="Times New Roman" w:cs="Times New Roman"/>
          <w:iCs/>
        </w:rPr>
      </w:r>
    </w:p>
    <w:tbl>
      <w:tblPr>
        <w:tblW w:w="935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6524"/>
        <w:gridCol w:w="2126"/>
      </w:tblGrid>
      <w:tr>
        <w:tblPrEx/>
        <w:trPr>
          <w:tblHeader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58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>
            <w:pPr>
              <w:pStyle w:val="858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W w:w="6524" w:type="dxa"/>
            <w:vAlign w:val="center"/>
            <w:textDirection w:val="lrTb"/>
            <w:noWrap w:val="false"/>
          </w:tcPr>
          <w:p>
            <w:pPr>
              <w:pStyle w:val="858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Наименование документа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58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Кол-во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>
            <w:pPr>
              <w:pStyle w:val="858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листов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66"/>
              <w:numPr>
                <w:ilvl w:val="0"/>
                <w:numId w:val="0"/>
              </w:numPr>
              <w:contextualSpacing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Cs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W w:w="6524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66"/>
              <w:numPr>
                <w:ilvl w:val="0"/>
                <w:numId w:val="0"/>
              </w:numPr>
              <w:contextualSpacing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Cs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W w:w="6524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blPrEx/>
        <w:trPr>
          <w:trHeight w:val="32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58"/>
              <w:contextualSpacing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Cs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...</w:t>
            </w:r>
            <w:r>
              <w:rPr>
                <w:rFonts w:ascii="Times New Roman" w:hAnsi="Times New Roman" w:cs="Times New Roman"/>
                <w:iCs/>
                <w:highlight w:val="yellow"/>
              </w:rPr>
            </w:r>
            <w:r>
              <w:rPr>
                <w:rFonts w:ascii="Times New Roman" w:hAnsi="Times New Roman" w:cs="Times New Roman"/>
                <w:iCs/>
                <w:highlight w:val="yellow"/>
              </w:rPr>
            </w:r>
          </w:p>
        </w:tc>
        <w:tc>
          <w:tcPr>
            <w:tcW w:w="6524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jc w:val="right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</w:tbl>
    <w:p>
      <w:pPr>
        <w:pStyle w:val="858"/>
        <w:ind w:right="3684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val="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79"/>
        <w:gridCol w:w="487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79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[Указать должность]</w:t>
            </w:r>
            <w:r>
              <w:rPr>
                <w:rStyle w:val="865"/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79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jc w:val="righ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[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Ф.И.О.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]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79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79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jc w:val="righ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[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]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79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79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jc w:val="right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М.П.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(при наличии)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</w:tbl>
    <w:p>
      <w:pPr>
        <w:ind w:left="0" w:right="0" w:firstLine="0"/>
        <w:jc w:val="right"/>
        <w:tabs>
          <w:tab w:val="left" w:pos="425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yellow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yellow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yellow"/>
          <w14:ligatures w14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64"/>
        <w:ind w:left="0" w:right="0" w:firstLine="709"/>
        <w:jc w:val="both"/>
      </w:pPr>
      <w:r>
        <w:rPr>
          <w:rStyle w:val="865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Обязательным является предоставление сведений о цепочке собственников Компании, включая бенефициаров (в т.ч. конечных). В </w:t>
      </w:r>
      <w:r>
        <w:rPr>
          <w:rFonts w:ascii="Times New Roman" w:hAnsi="Times New Roman"/>
        </w:rPr>
        <w:t xml:space="preserve">с</w:t>
      </w:r>
      <w:r>
        <w:rPr>
          <w:rFonts w:ascii="Times New Roman" w:hAnsi="Times New Roman"/>
        </w:rPr>
        <w:t xml:space="preserve">лучае подачи заявки от юридического лица, зарегистрированного </w:t>
        <w:br/>
        <w:t xml:space="preserve">на территории Российской Федерации, обязательным является предоставление согласия на обработку персональных данных собственников, включая конечных бенефициаров, указанных в таких сведениях.    </w:t>
      </w:r>
      <w:r/>
    </w:p>
  </w:footnote>
  <w:footnote w:id="3">
    <w:p>
      <w:pPr>
        <w:pStyle w:val="864"/>
        <w:ind w:left="0" w:right="0" w:firstLine="709"/>
        <w:jc w:val="both"/>
      </w:pPr>
      <w:r>
        <w:rPr>
          <w:rStyle w:val="86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При подаче заявки от представителя Компании, являющегося гражданином Российской Федерации, требуется предоставить согласие на обработку персональных данных по форме АО «Российский экспортный центр».</w:t>
      </w:r>
      <w:r>
        <w:rPr>
          <w:rFonts w:ascii="Times New Roman" w:hAnsi="Times New Roman"/>
        </w:rPr>
        <w:t xml:space="preserve">  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8"/>
    <w:next w:val="858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8"/>
    <w:next w:val="858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basedOn w:val="8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4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8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9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>
    <w:name w:val="No Spacing"/>
    <w:basedOn w:val="858"/>
    <w:uiPriority w:val="1"/>
    <w:qFormat/>
    <w:pPr>
      <w:spacing w:after="0" w:line="240" w:lineRule="auto"/>
    </w:pPr>
  </w:style>
  <w:style w:type="paragraph" w:styleId="862">
    <w:name w:val="List Paragraph"/>
    <w:basedOn w:val="858"/>
    <w:uiPriority w:val="34"/>
    <w:qFormat/>
    <w:pPr>
      <w:contextualSpacing/>
      <w:ind w:left="720"/>
    </w:pPr>
  </w:style>
  <w:style w:type="character" w:styleId="863" w:default="1">
    <w:name w:val="Default Paragraph Font"/>
    <w:uiPriority w:val="1"/>
    <w:semiHidden/>
    <w:unhideWhenUsed/>
  </w:style>
  <w:style w:type="paragraph" w:styleId="864" w:customStyle="1">
    <w:name w:val="Текст сноски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865" w:customStyle="1">
    <w:name w:val="Знак сноски"/>
    <w:uiPriority w:val="99"/>
    <w:unhideWhenUsed/>
    <w:rPr>
      <w:vertAlign w:val="superscript"/>
    </w:rPr>
  </w:style>
  <w:style w:type="paragraph" w:styleId="866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9</cp:revision>
  <dcterms:modified xsi:type="dcterms:W3CDTF">2025-10-28T08:32:06Z</dcterms:modified>
</cp:coreProperties>
</file>